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120" w:line="240" w:before="0"/>
        <w:ind w:left="0"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br w:type="textWrapping"/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0</wp:posOffset>
            </wp:positionH>
            <wp:positionV relativeFrom="paragraph">
              <wp:posOffset>261620</wp:posOffset>
            </wp:positionV>
            <wp:extent cy="1224280" cx="1502410"/>
            <wp:effectExtent t="0" b="0" r="0" l="0"/>
            <wp:wrapSquare distR="114300" distT="0" distB="0" wrapText="right" distL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224280" cx="1502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120" w:line="240" w:before="0"/>
        <w:ind w:left="0" w:firstLine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sz w:val="26"/>
          <w:vertAlign w:val="baseline"/>
          <w:rtl w:val="0"/>
        </w:rPr>
        <w:t xml:space="preserve">БЛАНК ИСХОДНЫХ ДАННЫХ</w:t>
      </w: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z w:val="26"/>
          <w:vertAlign w:val="baseline"/>
          <w:rtl w:val="0"/>
        </w:rPr>
        <w:t xml:space="preserve">для подбора установки УФ обеззараживания</w:t>
      </w: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1"/>
          <w:sz w:val="26"/>
          <w:vertAlign w:val="baseline"/>
          <w:rtl w:val="0"/>
        </w:rPr>
        <w:t xml:space="preserve">в системе оборотной воды бассейна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left="0"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i w:val="0"/>
          <w:sz w:val="16"/>
          <w:vertAlign w:val="baseline"/>
          <w:rtl w:val="0"/>
        </w:rPr>
        <w:t xml:space="preserve">Данная анкета предназначена только для предварительного подбора оборудования и не несет никаких обязательств покупки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ind w:left="0" w:firstLine="0"/>
        <w:contextualSpacing w:val="0"/>
        <w:jc w:val="right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10173.0" w:type="dxa"/>
        <w:jc w:val="left"/>
        <w:tblLayout w:type="fixed"/>
        <w:tblLook w:val="0000"/>
      </w:tblPr>
      <w:tblGrid>
        <w:gridCol w:w="4503"/>
        <w:gridCol w:w="5670"/>
      </w:tblGrid>
      <w:tr>
        <w:trPr>
          <w:trHeight w:val="5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tabs>
                <w:tab w:val="left" w:pos="9923"/>
              </w:tabs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Наименование объекта внедрения УФ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9923"/>
              </w:tabs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оборудования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tabs>
                <w:tab w:val="left" w:pos="9923"/>
              </w:tabs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tabs>
                <w:tab w:val="left" w:pos="9923"/>
              </w:tabs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Населенный пункт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tabs>
                <w:tab w:val="left" w:pos="9923"/>
              </w:tabs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10207.0" w:type="dxa"/>
        <w:jc w:val="left"/>
        <w:tblInd w:w="-33.0" w:type="dxa"/>
        <w:tblLayout w:type="fixed"/>
        <w:tblLook w:val="0000"/>
      </w:tblPr>
      <w:tblGrid>
        <w:gridCol w:w="426"/>
        <w:gridCol w:w="6804"/>
        <w:gridCol w:w="2977"/>
      </w:tblGrid>
      <w:tr>
        <w:trPr>
          <w:trHeight w:val="240" w:hRule="atLeast"/>
        </w:trPr>
        <w:tc>
          <w:tcPr>
            <w:tcBorders>
              <w:top w:color="000000" w:space="0" w:val="single" w:sz="4"/>
              <w:left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keepNext w:val="1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1.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МАКСИМАЛЬНЫЙ РАСХОД ОБОРОТНОЙ ВОДЫ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vertAlign w:val="baseline"/>
                <w:rtl w:val="0"/>
              </w:rPr>
              <w:t xml:space="preserve"> м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vertAlign w:val="superscript"/>
                <w:rtl w:val="0"/>
              </w:rPr>
              <w:t xml:space="preserve">3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vertAlign w:val="baseline"/>
                <w:rtl w:val="0"/>
              </w:rPr>
              <w:t xml:space="preserve">/час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keepNext w:val="1"/>
              <w:numPr>
                <w:ilvl w:val="0"/>
                <w:numId w:val="1"/>
              </w:numPr>
              <w:spacing w:lineRule="auto" w:after="0" w:line="240" w:before="0"/>
              <w:ind w:left="227" w:hanging="226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Количество насосов (основных / резервных)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keepNext w:val="1"/>
              <w:numPr>
                <w:ilvl w:val="0"/>
                <w:numId w:val="1"/>
              </w:numPr>
              <w:spacing w:lineRule="auto" w:after="0" w:line="240" w:before="0"/>
              <w:ind w:left="227" w:hanging="226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Производительность насоса, м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superscript"/>
                <w:rtl w:val="0"/>
              </w:rPr>
              <w:t xml:space="preserve">3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/час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keepNext w:val="1"/>
              <w:numPr>
                <w:ilvl w:val="0"/>
                <w:numId w:val="1"/>
              </w:numPr>
              <w:spacing w:lineRule="auto" w:after="0" w:line="240" w:before="0"/>
              <w:ind w:left="227" w:hanging="226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Давление на выходе насоса, кгс/см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superscript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4"/>
              <w:right w:color="000000" w:space="0" w:val="single" w:sz="6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3"/>
        <w:bidiVisual w:val="0"/>
        <w:tblW w:w="10181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400"/>
        <w:gridCol w:w="5804"/>
        <w:gridCol w:w="3977"/>
      </w:tblGrid>
      <w:tr>
        <w:tc>
          <w:tcPr>
            <w:tcBorders>
              <w:top w:color="000000" w:space="0" w:val="single" w:sz="4"/>
              <w:left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2.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Показатели качества оборотной воды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(перед УФ установкой)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Максимальное значение показателя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vertAlign w:val="baseline"/>
                <w:rtl w:val="0"/>
              </w:rPr>
              <w:t xml:space="preserve">1. Мутность по формазину, ЕМФ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vertAlign w:val="baseline"/>
                <w:rtl w:val="0"/>
              </w:rPr>
              <w:t xml:space="preserve">    Мутность по каолину, мг/л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6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vertAlign w:val="baseline"/>
                <w:rtl w:val="0"/>
              </w:rPr>
              <w:t xml:space="preserve">2. Цветность, град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4"/>
              <w:bottom w:color="000000" w:space="0" w:val="single" w:sz="6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vertAlign w:val="baseline"/>
                <w:rtl w:val="0"/>
              </w:rPr>
              <w:t xml:space="preserve">3. Железо общее, мг/л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4"/>
              <w:bottom w:color="000000" w:space="0" w:val="single" w:sz="6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vertAlign w:val="baseline"/>
                <w:rtl w:val="0"/>
              </w:rPr>
              <w:t xml:space="preserve">4. Температура, </w:t>
            </w:r>
            <w:r w:rsidRPr="00000000" w:rsidR="00000000" w:rsidDel="00000000">
              <w:rPr>
                <w:rFonts w:cs="Arial" w:hAnsi="Arial" w:eastAsia="Arial" w:ascii="Arial"/>
                <w:sz w:val="22"/>
                <w:vertAlign w:val="superscript"/>
                <w:rtl w:val="0"/>
              </w:rPr>
              <w:t xml:space="preserve">0</w:t>
            </w:r>
            <w:r w:rsidRPr="00000000" w:rsidR="00000000" w:rsidDel="00000000">
              <w:rPr>
                <w:rFonts w:cs="Arial" w:hAnsi="Arial" w:eastAsia="Arial" w:ascii="Arial"/>
                <w:sz w:val="22"/>
                <w:vertAlign w:val="baseline"/>
                <w:rtl w:val="0"/>
              </w:rPr>
              <w:t xml:space="preserve">С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4"/>
              <w:bottom w:color="000000" w:space="0" w:val="single" w:sz="6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vertAlign w:val="baseline"/>
                <w:rtl w:val="0"/>
              </w:rPr>
              <w:t xml:space="preserve">5. ОМЧ (общее микробное число), КОЕ/мл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4"/>
              <w:bottom w:color="000000" w:space="0" w:val="single" w:sz="6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vertAlign w:val="baseline"/>
                <w:rtl w:val="0"/>
              </w:rPr>
              <w:t xml:space="preserve">6. ОКБ (общие колиформные бактерии), КОЕ/100 мл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4"/>
        <w:bidiVisual w:val="0"/>
        <w:tblW w:w="10173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400"/>
        <w:gridCol w:w="9773"/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3.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2"/>
                <w:vertAlign w:val="baseline"/>
                <w:rtl w:val="0"/>
              </w:rPr>
              <w:t xml:space="preserve">Дополнительная информация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-165099</wp:posOffset>
            </wp:positionH>
            <wp:positionV relativeFrom="paragraph">
              <wp:posOffset>25400</wp:posOffset>
            </wp:positionV>
            <wp:extent cy="38100" cx="6667500"/>
            <wp:effectExtent t="0" b="0" r="0" l="0"/>
            <wp:wrapNone/>
            <wp:docPr id="3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y="38100" cx="6667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-266699</wp:posOffset>
            </wp:positionH>
            <wp:positionV relativeFrom="paragraph">
              <wp:posOffset>101600</wp:posOffset>
            </wp:positionV>
            <wp:extent cy="736600" cx="6858000"/>
            <wp:effectExtent t="0" b="0" r="0" l="0"/>
            <wp:wrapNone/>
            <wp:docPr id="4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y="736600" cx="685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1193800</wp:posOffset>
            </wp:positionH>
            <wp:positionV relativeFrom="paragraph">
              <wp:posOffset>0</wp:posOffset>
            </wp:positionV>
            <wp:extent cy="279400" cx="1828800"/>
            <wp:effectExtent t="0" b="0" r="0" l="0"/>
            <wp:wrapNone/>
            <wp:docPr id="5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y="279400" cx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6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1092200</wp:posOffset>
            </wp:positionH>
            <wp:positionV relativeFrom="paragraph">
              <wp:posOffset>0</wp:posOffset>
            </wp:positionV>
            <wp:extent cy="279400" cx="1917700"/>
            <wp:effectExtent t="0" b="0" r="0" l="0"/>
            <wp:wrapNone/>
            <wp:docPr id="7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ext cy="279400" cx="191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2565400</wp:posOffset>
            </wp:positionH>
            <wp:positionV relativeFrom="paragraph">
              <wp:posOffset>76200</wp:posOffset>
            </wp:positionV>
            <wp:extent cy="368300" cx="4025900"/>
            <wp:effectExtent t="0" b="0" r="0" l="0"/>
            <wp:wrapNone/>
            <wp:docPr id="8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ext cy="368300" cx="402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4749800</wp:posOffset>
            </wp:positionH>
            <wp:positionV relativeFrom="paragraph">
              <wp:posOffset>0</wp:posOffset>
            </wp:positionV>
            <wp:extent cy="279400" cx="647700"/>
            <wp:effectExtent t="0" b="0" r="0" l="0"/>
            <wp:wrapNone/>
            <wp:docPr id="6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ext cy="279400" cx="64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6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6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60" w:line="240" w:before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Для получения дополнительной информации обращайтесь в отдел продаж серийного оборудования по адресу: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6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5"/>
        <w:bidiVisual w:val="0"/>
        <w:tblW w:w="10229.0" w:type="dxa"/>
        <w:jc w:val="left"/>
        <w:tblInd w:w="-175.0" w:type="dxa"/>
        <w:tblBorders>
          <w:bottom w:color="000000" w:space="0" w:val="single" w:sz="4"/>
        </w:tblBorders>
        <w:tblLayout w:type="fixed"/>
        <w:tblLook w:val="0000"/>
      </w:tblPr>
      <w:tblGrid>
        <w:gridCol w:w="5115"/>
        <w:gridCol w:w="5114"/>
      </w:tblGrid>
      <w:tr>
        <w:trPr>
          <w:trHeight w:val="1040" w:hRule="atLeast"/>
        </w:trPr>
        <w:tc>
          <w:tcPr>
            <w:tcBorders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spacing w:lineRule="auto" w:after="0" w:line="480" w:before="0"/>
              <w:ind w:left="0" w:firstLine="0"/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vertAlign w:val="baseline"/>
                <w:rtl w:val="0"/>
              </w:rPr>
              <w:t xml:space="preserve">Россия, Санкт-Петербург ООО«УФ Технолоджи»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vertAlign w:val="baseline"/>
                <w:rtl w:val="0"/>
              </w:rPr>
              <w:t xml:space="preserve">Ул.победы 12 А-6Н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0" w:space="0" w:val="nil" w:sz="0"/>
            </w:tcBorders>
          </w:tcPr>
          <w:p w:rsidP="00000000" w:rsidRPr="00000000" w:rsidR="00000000" w:rsidDel="00000000" w:rsidRDefault="00000000">
            <w:pPr>
              <w:tabs>
                <w:tab w:val="left" w:pos="1026"/>
              </w:tabs>
              <w:spacing w:lineRule="auto" w:after="0" w:line="240" w:before="0"/>
              <w:ind w:left="318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vertAlign w:val="baseline"/>
                <w:rtl w:val="0"/>
              </w:rPr>
              <w:t xml:space="preserve">тел.: </w:t>
              <w:tab/>
              <w:t xml:space="preserve">(812) 924-88-27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1026"/>
              </w:tabs>
              <w:spacing w:lineRule="auto" w:after="0" w:line="240" w:before="0"/>
              <w:ind w:left="318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vertAlign w:val="baseline"/>
                <w:rtl w:val="0"/>
              </w:rPr>
              <w:t xml:space="preserve">            (812)  924-88-29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120"/>
        <w:ind w:left="0" w:firstLine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1845310</wp:posOffset>
            </wp:positionH>
            <wp:positionV relativeFrom="paragraph">
              <wp:posOffset>5481320</wp:posOffset>
            </wp:positionV>
            <wp:extent cy="260350" cx="742950"/>
            <wp:effectExtent t="0" b="0" r="0" l="0"/>
            <wp:wrapNone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60350" cx="74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8001000</wp:posOffset>
            </wp:positionH>
            <wp:positionV relativeFrom="paragraph">
              <wp:posOffset>-355599</wp:posOffset>
            </wp:positionV>
            <wp:extent cy="419100" cx="2019300"/>
            <wp:effectExtent t="0" b="0" r="0" l="0"/>
            <wp:wrapNone/>
            <wp:docPr id="9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ext cy="419100" cx="2019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w="11907" w:h="16840"/>
      <w:pgMar w:left="1134" w:right="708" w:top="567" w:bottom="56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227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84" w:firstLine="57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162" w:firstLine="45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70" w:firstLine="116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78" w:firstLine="187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86" w:firstLine="257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94" w:firstLine="3286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702" w:firstLine="399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10" w:firstLine="4702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4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5" w:type="table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media/image02.png" Type="http://schemas.openxmlformats.org/officeDocument/2006/relationships/image" Id="rId12"/><Relationship Target="settings.xml" Type="http://schemas.openxmlformats.org/officeDocument/2006/relationships/settings" Id="rId1"/><Relationship Target="media/image04.png" Type="http://schemas.openxmlformats.org/officeDocument/2006/relationships/image" Id="rId13"/><Relationship Target="styles.xml" Type="http://schemas.openxmlformats.org/officeDocument/2006/relationships/styles" Id="rId4"/><Relationship Target="media/image07.png" Type="http://schemas.openxmlformats.org/officeDocument/2006/relationships/image" Id="rId10"/><Relationship Target="numbering.xml" Type="http://schemas.openxmlformats.org/officeDocument/2006/relationships/numbering" Id="rId3"/><Relationship Target="media/image05.png" Type="http://schemas.openxmlformats.org/officeDocument/2006/relationships/image" Id="rId11"/><Relationship Target="media/image03.png" Type="http://schemas.openxmlformats.org/officeDocument/2006/relationships/image" Id="rId9"/><Relationship Target="media/image00.png" Type="http://schemas.openxmlformats.org/officeDocument/2006/relationships/image" Id="rId6"/><Relationship Target="media/image01.png" Type="http://schemas.openxmlformats.org/officeDocument/2006/relationships/image" Id="rId5"/><Relationship Target="media/image06.png" Type="http://schemas.openxmlformats.org/officeDocument/2006/relationships/image" Id="rId8"/><Relationship Target="media/image08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1.Бланк исх данных Бассейны.docx</dc:title>
</cp:coreProperties>
</file>